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8FBE0" w14:textId="77777777" w:rsidR="002750C4" w:rsidRDefault="00B65534" w:rsidP="00FF040C">
      <w:pPr>
        <w:pStyle w:val="A-AnswerKey-EssayAnswers-indent"/>
        <w:ind w:left="0" w:firstLine="0"/>
      </w:pPr>
      <w:r>
        <w:t>Name ______________________________________</w:t>
      </w:r>
    </w:p>
    <w:p w14:paraId="1F4375E0" w14:textId="77777777" w:rsidR="005C4958" w:rsidRDefault="005C4958" w:rsidP="00FF040C">
      <w:pPr>
        <w:pStyle w:val="A-AnswerKey-EssayAnswers-indent"/>
        <w:ind w:left="0" w:firstLine="0"/>
      </w:pPr>
    </w:p>
    <w:p w14:paraId="7A0DE060" w14:textId="77777777" w:rsidR="005C4958" w:rsidRDefault="005C4958" w:rsidP="00FF040C">
      <w:pPr>
        <w:pStyle w:val="A-AnswerKey-EssayAnswers-indent"/>
        <w:ind w:left="0" w:firstLine="0"/>
      </w:pPr>
    </w:p>
    <w:p w14:paraId="0165AB97" w14:textId="77777777" w:rsidR="00CA6FB5" w:rsidRDefault="00CA6FB5" w:rsidP="00CA6FB5">
      <w:pPr>
        <w:pStyle w:val="A-BH-spaceafter"/>
      </w:pPr>
      <w:r w:rsidRPr="002C1B72">
        <w:t>“Rejoice and Be Glad”</w:t>
      </w:r>
      <w:r w:rsidRPr="001F7C8E">
        <w:t xml:space="preserve"> </w:t>
      </w:r>
      <w:r w:rsidRPr="001F7C8E">
        <w:rPr>
          <w:i/>
        </w:rPr>
        <w:t>(“</w:t>
      </w:r>
      <w:r w:rsidRPr="0093503F">
        <w:rPr>
          <w:i/>
        </w:rPr>
        <w:t>Gaudete</w:t>
      </w:r>
      <w:r w:rsidRPr="004D4608">
        <w:rPr>
          <w:i/>
        </w:rPr>
        <w:t xml:space="preserve"> et </w:t>
      </w:r>
      <w:proofErr w:type="spellStart"/>
      <w:r w:rsidRPr="004D4608">
        <w:rPr>
          <w:i/>
        </w:rPr>
        <w:t>Exsultate</w:t>
      </w:r>
      <w:proofErr w:type="spellEnd"/>
      <w:r w:rsidRPr="004D4608">
        <w:rPr>
          <w:i/>
        </w:rPr>
        <w:t xml:space="preserve">”) </w:t>
      </w:r>
      <w:r w:rsidRPr="004D4608">
        <w:t>Assignment Answer Key</w:t>
      </w:r>
    </w:p>
    <w:p w14:paraId="34748085" w14:textId="77777777" w:rsidR="00CA6FB5" w:rsidRDefault="00CA6FB5" w:rsidP="00FF040C">
      <w:pPr>
        <w:pStyle w:val="A-AnswerKey-EssayAnswers-indent"/>
        <w:ind w:left="0" w:firstLine="0"/>
      </w:pPr>
    </w:p>
    <w:p w14:paraId="74733ECA" w14:textId="77777777" w:rsidR="00CA6FB5" w:rsidRDefault="00CA6FB5" w:rsidP="00FF040C">
      <w:pPr>
        <w:pStyle w:val="A-AnswerKey-EssayAnswers-indent"/>
        <w:ind w:left="0" w:firstLine="0"/>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3355"/>
        <w:gridCol w:w="6581"/>
      </w:tblGrid>
      <w:tr w:rsidR="005C4958" w14:paraId="27CD4436" w14:textId="77777777" w:rsidTr="00A95354">
        <w:trPr>
          <w:trHeight w:val="347"/>
        </w:trPr>
        <w:tc>
          <w:tcPr>
            <w:tcW w:w="9936" w:type="dxa"/>
            <w:gridSpan w:val="2"/>
            <w:shd w:val="clear" w:color="auto" w:fill="D9D9D9" w:themeFill="background1" w:themeFillShade="D9"/>
            <w:vAlign w:val="center"/>
          </w:tcPr>
          <w:p w14:paraId="043CB3E0" w14:textId="77777777" w:rsidR="005C4958" w:rsidRPr="005C4958" w:rsidRDefault="005C4958" w:rsidP="005C4958">
            <w:pPr>
              <w:pStyle w:val="A-ChartDH"/>
            </w:pPr>
            <w:r w:rsidRPr="00441225">
              <w:t>Part 1: Explain and An</w:t>
            </w:r>
            <w:r w:rsidRPr="00634661">
              <w:t>n</w:t>
            </w:r>
            <w:r w:rsidRPr="00441225">
              <w:t>otate</w:t>
            </w:r>
          </w:p>
        </w:tc>
      </w:tr>
      <w:tr w:rsidR="005C4958" w14:paraId="6CB8122C" w14:textId="77777777" w:rsidTr="00A95354">
        <w:trPr>
          <w:trHeight w:val="1494"/>
        </w:trPr>
        <w:tc>
          <w:tcPr>
            <w:tcW w:w="3355" w:type="dxa"/>
          </w:tcPr>
          <w:p w14:paraId="08BE8910" w14:textId="77777777" w:rsidR="005C4958" w:rsidRPr="004A69AF" w:rsidRDefault="004A69AF" w:rsidP="004A69AF">
            <w:pPr>
              <w:pStyle w:val="A-ChartText-10pt"/>
              <w:numPr>
                <w:ilvl w:val="0"/>
                <w:numId w:val="14"/>
              </w:numPr>
              <w:ind w:left="270" w:hanging="270"/>
              <w:rPr>
                <w:b/>
              </w:rPr>
            </w:pPr>
            <w:r w:rsidRPr="004A69AF">
              <w:rPr>
                <w:b/>
              </w:rPr>
              <w:t xml:space="preserve">(Paragraphs 1–2) Explain </w:t>
            </w:r>
            <w:r w:rsidR="00B56F4E">
              <w:rPr>
                <w:b/>
              </w:rPr>
              <w:br/>
            </w:r>
            <w:r w:rsidRPr="004A69AF">
              <w:rPr>
                <w:b/>
              </w:rPr>
              <w:t xml:space="preserve">the meaning of the Latin title </w:t>
            </w:r>
            <w:r w:rsidRPr="004A69AF">
              <w:rPr>
                <w:b/>
                <w:i/>
              </w:rPr>
              <w:t xml:space="preserve">Gaudete et </w:t>
            </w:r>
            <w:proofErr w:type="spellStart"/>
            <w:r w:rsidRPr="004A69AF">
              <w:rPr>
                <w:b/>
                <w:i/>
              </w:rPr>
              <w:t>Exsultate</w:t>
            </w:r>
            <w:proofErr w:type="spellEnd"/>
            <w:r w:rsidRPr="004A69AF">
              <w:rPr>
                <w:b/>
              </w:rPr>
              <w:t xml:space="preserve">, where </w:t>
            </w:r>
            <w:r w:rsidR="00B56F4E">
              <w:rPr>
                <w:b/>
              </w:rPr>
              <w:br/>
            </w:r>
            <w:r w:rsidRPr="004A69AF">
              <w:rPr>
                <w:b/>
              </w:rPr>
              <w:t>it comes from, and Pope Francis’s goal in writing this apostolic exhortation.</w:t>
            </w:r>
          </w:p>
        </w:tc>
        <w:tc>
          <w:tcPr>
            <w:tcW w:w="6581" w:type="dxa"/>
          </w:tcPr>
          <w:p w14:paraId="109CDC32" w14:textId="77777777" w:rsidR="005C4958" w:rsidRDefault="004A69AF" w:rsidP="00A31E91">
            <w:pPr>
              <w:pStyle w:val="A-ChartText-10pt"/>
            </w:pPr>
            <w:r w:rsidRPr="0093503F">
              <w:rPr>
                <w:i/>
              </w:rPr>
              <w:t xml:space="preserve">Gaudete et </w:t>
            </w:r>
            <w:proofErr w:type="spellStart"/>
            <w:r w:rsidRPr="0093503F">
              <w:rPr>
                <w:i/>
              </w:rPr>
              <w:t>Exsultate</w:t>
            </w:r>
            <w:proofErr w:type="spellEnd"/>
            <w:r w:rsidRPr="0093503F">
              <w:t xml:space="preserve"> means “rejoice and be glad” (M</w:t>
            </w:r>
            <w:r>
              <w:t xml:space="preserve">atthew </w:t>
            </w:r>
            <w:r w:rsidRPr="0093503F">
              <w:t>5:12) and</w:t>
            </w:r>
            <w:r w:rsidRPr="0093503F">
              <w:rPr>
                <w:b/>
              </w:rPr>
              <w:t xml:space="preserve"> </w:t>
            </w:r>
            <w:r w:rsidRPr="0093503F">
              <w:t>comes from the words Jesus in the Beatitudes (1). Pope Francis says</w:t>
            </w:r>
            <w:r>
              <w:t>,</w:t>
            </w:r>
            <w:r w:rsidRPr="0093503F">
              <w:t xml:space="preserve"> “My modest goal is to repropose the call to holiness in a practical way for our own time, with all its risks, challenges and opportunities” (2).</w:t>
            </w:r>
          </w:p>
        </w:tc>
      </w:tr>
      <w:tr w:rsidR="005C4958" w14:paraId="553A0FE4" w14:textId="77777777" w:rsidTr="00A95354">
        <w:trPr>
          <w:trHeight w:val="1494"/>
        </w:trPr>
        <w:tc>
          <w:tcPr>
            <w:tcW w:w="3355" w:type="dxa"/>
          </w:tcPr>
          <w:p w14:paraId="6C9E2209" w14:textId="77777777" w:rsidR="005C4958" w:rsidRPr="00A31E91" w:rsidRDefault="00A31E91" w:rsidP="00A31E91">
            <w:pPr>
              <w:pStyle w:val="A-AnswerKey-EssayAnswers-indent"/>
              <w:numPr>
                <w:ilvl w:val="0"/>
                <w:numId w:val="14"/>
              </w:numPr>
              <w:ind w:left="270" w:hanging="270"/>
              <w:rPr>
                <w:rFonts w:cs="Arial"/>
                <w:b/>
              </w:rPr>
            </w:pPr>
            <w:r w:rsidRPr="00A31E91">
              <w:rPr>
                <w:rFonts w:cs="Arial"/>
                <w:b/>
              </w:rPr>
              <w:t>(Paragraphs 3–9) In addition to the examples in Scripture and among the beatified and canonized, who else does Pope Francis specifically recognize as part of the saints who encourage and accompany us</w:t>
            </w:r>
            <w:r w:rsidRPr="00A31E91">
              <w:rPr>
                <w:rFonts w:cs="Arial"/>
                <w:b/>
                <w:smallCaps/>
              </w:rPr>
              <w:t xml:space="preserve">? </w:t>
            </w:r>
            <w:r w:rsidRPr="00A31E91">
              <w:rPr>
                <w:rFonts w:cs="Arial"/>
                <w:b/>
              </w:rPr>
              <w:t>In your answer, be sure to explain what is meant by “the middle class of holiness” (7).</w:t>
            </w:r>
          </w:p>
        </w:tc>
        <w:tc>
          <w:tcPr>
            <w:tcW w:w="6581" w:type="dxa"/>
          </w:tcPr>
          <w:p w14:paraId="098C9D72" w14:textId="77777777" w:rsidR="009B77FD" w:rsidRPr="00513FD9" w:rsidRDefault="009B77FD" w:rsidP="009B77FD">
            <w:pPr>
              <w:pStyle w:val="A-ChartText-bulletlist"/>
              <w:rPr>
                <w:sz w:val="20"/>
                <w:szCs w:val="20"/>
              </w:rPr>
            </w:pPr>
            <w:r w:rsidRPr="00513FD9">
              <w:rPr>
                <w:sz w:val="20"/>
                <w:szCs w:val="20"/>
              </w:rPr>
              <w:t>“These witnesses may include our own mothers, grand</w:t>
            </w:r>
            <w:r w:rsidR="00AD0497">
              <w:rPr>
                <w:sz w:val="20"/>
                <w:szCs w:val="20"/>
              </w:rPr>
              <w:t>-</w:t>
            </w:r>
            <w:r w:rsidRPr="00513FD9">
              <w:rPr>
                <w:sz w:val="20"/>
                <w:szCs w:val="20"/>
              </w:rPr>
              <w:t>mothers or other loved ones” (3)  .  .  .  “in those parents who raise their children with immense love, in those men and women who work hard to support their families, in the sick, in elderly religious who never lose their smile” (7).</w:t>
            </w:r>
          </w:p>
          <w:p w14:paraId="7280E0B9" w14:textId="77777777" w:rsidR="005C4958" w:rsidRPr="00513FD9" w:rsidRDefault="009B77FD" w:rsidP="009B77FD">
            <w:pPr>
              <w:pStyle w:val="A-ChartText-bulletlist"/>
              <w:rPr>
                <w:sz w:val="20"/>
                <w:szCs w:val="20"/>
              </w:rPr>
            </w:pPr>
            <w:r w:rsidRPr="00513FD9">
              <w:rPr>
                <w:sz w:val="20"/>
                <w:szCs w:val="20"/>
              </w:rPr>
              <w:t>The “middle class of holiness” refers to the ordinary people in our daily lives, like our next-door neighbors and “those who, living in our midst, reflect God’s presence” (7).</w:t>
            </w:r>
          </w:p>
        </w:tc>
      </w:tr>
      <w:tr w:rsidR="005C4958" w14:paraId="04D174A3" w14:textId="77777777" w:rsidTr="00A95354">
        <w:trPr>
          <w:trHeight w:val="1494"/>
        </w:trPr>
        <w:tc>
          <w:tcPr>
            <w:tcW w:w="3355" w:type="dxa"/>
          </w:tcPr>
          <w:p w14:paraId="2F80933E" w14:textId="77777777" w:rsidR="005C4958" w:rsidRPr="006C325E" w:rsidRDefault="009A05C8" w:rsidP="006C325E">
            <w:pPr>
              <w:pStyle w:val="A-ChartText-boldcells-10pt"/>
              <w:numPr>
                <w:ilvl w:val="0"/>
                <w:numId w:val="14"/>
              </w:numPr>
              <w:ind w:left="270" w:hanging="270"/>
            </w:pPr>
            <w:r w:rsidRPr="009A05C8">
              <w:t xml:space="preserve">(Paragraphs 10–13) Copy the quote from paragraph 10 in Second Vatican </w:t>
            </w:r>
            <w:r w:rsidR="00AD0497">
              <w:t>C</w:t>
            </w:r>
            <w:r w:rsidRPr="009A05C8">
              <w:t xml:space="preserve">ouncil’s </w:t>
            </w:r>
            <w:r w:rsidRPr="009A05C8">
              <w:rPr>
                <w:i/>
              </w:rPr>
              <w:t xml:space="preserve">Dogmatic Constitution on </w:t>
            </w:r>
            <w:r w:rsidR="00B56F4E">
              <w:rPr>
                <w:i/>
              </w:rPr>
              <w:br/>
            </w:r>
            <w:r w:rsidRPr="009A05C8">
              <w:rPr>
                <w:i/>
              </w:rPr>
              <w:t>the Church</w:t>
            </w:r>
            <w:r w:rsidRPr="009A05C8">
              <w:t xml:space="preserve"> (</w:t>
            </w:r>
            <w:r w:rsidRPr="009A05C8">
              <w:rPr>
                <w:i/>
              </w:rPr>
              <w:t xml:space="preserve">Lumen Gentium, </w:t>
            </w:r>
            <w:r w:rsidRPr="00E017BB">
              <w:t>1964</w:t>
            </w:r>
            <w:r w:rsidRPr="009A05C8">
              <w:rPr>
                <w:i/>
              </w:rPr>
              <w:t>)</w:t>
            </w:r>
            <w:r w:rsidRPr="009A05C8">
              <w:t xml:space="preserve"> and explain what it means.</w:t>
            </w:r>
          </w:p>
        </w:tc>
        <w:tc>
          <w:tcPr>
            <w:tcW w:w="6581" w:type="dxa"/>
          </w:tcPr>
          <w:p w14:paraId="729D7D33" w14:textId="77777777" w:rsidR="006C325E" w:rsidRPr="006C325E" w:rsidRDefault="006C325E" w:rsidP="006C325E">
            <w:pPr>
              <w:pStyle w:val="A-ChartText-bulletlist"/>
              <w:rPr>
                <w:sz w:val="20"/>
                <w:szCs w:val="20"/>
              </w:rPr>
            </w:pPr>
            <w:r w:rsidRPr="006C325E">
              <w:rPr>
                <w:sz w:val="20"/>
                <w:szCs w:val="20"/>
              </w:rPr>
              <w:t xml:space="preserve">“Strengthened by so many and such great means of salvation, all </w:t>
            </w:r>
            <w:r w:rsidR="00B56F4E">
              <w:rPr>
                <w:sz w:val="20"/>
                <w:szCs w:val="20"/>
              </w:rPr>
              <w:br/>
            </w:r>
            <w:r w:rsidRPr="006C325E">
              <w:rPr>
                <w:sz w:val="20"/>
                <w:szCs w:val="20"/>
              </w:rPr>
              <w:t xml:space="preserve">the faithful, whatever their condition or state, are called by the Lord—each in his or her own way—to that perfect holiness by which the Father himself is perfect” (10; </w:t>
            </w:r>
            <w:r w:rsidRPr="006C325E">
              <w:rPr>
                <w:i/>
                <w:sz w:val="20"/>
                <w:szCs w:val="20"/>
              </w:rPr>
              <w:t xml:space="preserve">The Church, </w:t>
            </w:r>
            <w:r w:rsidRPr="006C325E">
              <w:rPr>
                <w:sz w:val="20"/>
                <w:szCs w:val="20"/>
              </w:rPr>
              <w:t>11).</w:t>
            </w:r>
          </w:p>
          <w:p w14:paraId="1ED8F8E7" w14:textId="77777777" w:rsidR="005C4958" w:rsidRPr="006C325E" w:rsidRDefault="006C325E" w:rsidP="006C325E">
            <w:pPr>
              <w:pStyle w:val="A-ChartText-bulletlist"/>
              <w:rPr>
                <w:sz w:val="20"/>
                <w:szCs w:val="20"/>
              </w:rPr>
            </w:pPr>
            <w:r w:rsidRPr="006C325E">
              <w:rPr>
                <w:sz w:val="20"/>
                <w:szCs w:val="20"/>
              </w:rPr>
              <w:t xml:space="preserve">Everyone is called to holiness, “each in his or her own way,” meaning that there are many actual ways of being holy. “The important thing is that each believer discern his or her own path, that they bring out the very best of themselves, the most personal gifts that God has placed in their hearts (cf. </w:t>
            </w:r>
            <w:r w:rsidRPr="006C325E">
              <w:rPr>
                <w:iCs/>
                <w:sz w:val="20"/>
                <w:szCs w:val="20"/>
              </w:rPr>
              <w:t>1 Corinthians</w:t>
            </w:r>
            <w:r w:rsidRPr="006C325E">
              <w:rPr>
                <w:i/>
                <w:iCs/>
                <w:sz w:val="20"/>
                <w:szCs w:val="20"/>
              </w:rPr>
              <w:t xml:space="preserve"> </w:t>
            </w:r>
            <w:r w:rsidRPr="006C325E">
              <w:rPr>
                <w:sz w:val="20"/>
                <w:szCs w:val="20"/>
              </w:rPr>
              <w:t>12:7), rather than hopelessly trying to imitate something not meant for them” (11).</w:t>
            </w:r>
          </w:p>
        </w:tc>
      </w:tr>
      <w:tr w:rsidR="005C4958" w14:paraId="3E7B313D" w14:textId="77777777" w:rsidTr="00A95354">
        <w:trPr>
          <w:trHeight w:val="1494"/>
        </w:trPr>
        <w:tc>
          <w:tcPr>
            <w:tcW w:w="3355" w:type="dxa"/>
          </w:tcPr>
          <w:p w14:paraId="727445F6" w14:textId="77777777" w:rsidR="00E84AD5" w:rsidRPr="00441225" w:rsidRDefault="00E84AD5" w:rsidP="00E84AD5">
            <w:pPr>
              <w:pStyle w:val="A-ChartText-boldcells-10pt"/>
              <w:numPr>
                <w:ilvl w:val="0"/>
                <w:numId w:val="14"/>
              </w:numPr>
              <w:ind w:left="270" w:hanging="270"/>
            </w:pPr>
            <w:r w:rsidRPr="00441225">
              <w:t>(</w:t>
            </w:r>
            <w:r w:rsidRPr="00634661">
              <w:t>Paragraphs</w:t>
            </w:r>
            <w:r w:rsidRPr="00441225">
              <w:t xml:space="preserve"> 14–18) How does Pope Francis explain what being holy does and does </w:t>
            </w:r>
            <w:r w:rsidR="00B56F4E">
              <w:br/>
            </w:r>
            <w:r w:rsidRPr="00441225">
              <w:t>not require of us?</w:t>
            </w:r>
          </w:p>
          <w:p w14:paraId="71ACE9C5" w14:textId="77777777" w:rsidR="005C4958" w:rsidRDefault="005C4958" w:rsidP="00FF040C">
            <w:pPr>
              <w:pStyle w:val="A-AnswerKey-EssayAnswers-indent"/>
              <w:ind w:left="0" w:firstLine="0"/>
            </w:pPr>
          </w:p>
        </w:tc>
        <w:tc>
          <w:tcPr>
            <w:tcW w:w="6581" w:type="dxa"/>
          </w:tcPr>
          <w:p w14:paraId="11913111" w14:textId="77777777" w:rsidR="00D30442" w:rsidRPr="00D30442" w:rsidRDefault="00D30442" w:rsidP="00D30442">
            <w:pPr>
              <w:pStyle w:val="A-ChartText-bulletlist"/>
              <w:rPr>
                <w:sz w:val="20"/>
                <w:szCs w:val="20"/>
              </w:rPr>
            </w:pPr>
            <w:r w:rsidRPr="00D30442">
              <w:rPr>
                <w:sz w:val="20"/>
                <w:szCs w:val="20"/>
              </w:rPr>
              <w:t xml:space="preserve">DOES: “We are all called to be holy by living our lives with love </w:t>
            </w:r>
            <w:r w:rsidR="00B56F4E">
              <w:rPr>
                <w:sz w:val="20"/>
                <w:szCs w:val="20"/>
              </w:rPr>
              <w:br/>
            </w:r>
            <w:r w:rsidRPr="00D30442">
              <w:rPr>
                <w:sz w:val="20"/>
                <w:szCs w:val="20"/>
              </w:rPr>
              <w:t>and by bearing witness in everything we do, wherever we find ourselves” (14).</w:t>
            </w:r>
          </w:p>
          <w:p w14:paraId="0A140E74" w14:textId="77777777" w:rsidR="005C4958" w:rsidRPr="00D30442" w:rsidRDefault="00D30442" w:rsidP="00D30442">
            <w:pPr>
              <w:pStyle w:val="A-ChartText-bulletlist"/>
              <w:rPr>
                <w:sz w:val="20"/>
                <w:szCs w:val="20"/>
              </w:rPr>
            </w:pPr>
            <w:r w:rsidRPr="00D30442">
              <w:rPr>
                <w:sz w:val="20"/>
                <w:szCs w:val="20"/>
              </w:rPr>
              <w:t>DOES</w:t>
            </w:r>
            <w:r w:rsidRPr="00D30442">
              <w:rPr>
                <w:b/>
                <w:sz w:val="20"/>
                <w:szCs w:val="20"/>
              </w:rPr>
              <w:t xml:space="preserve"> </w:t>
            </w:r>
            <w:r w:rsidRPr="00D30442">
              <w:rPr>
                <w:sz w:val="20"/>
                <w:szCs w:val="20"/>
              </w:rPr>
              <w:t xml:space="preserve">NOT: We do not have to be in religious life to be holy; </w:t>
            </w:r>
            <w:r w:rsidR="00B56F4E">
              <w:rPr>
                <w:sz w:val="20"/>
                <w:szCs w:val="20"/>
              </w:rPr>
              <w:br/>
            </w:r>
            <w:r w:rsidRPr="00D30442">
              <w:rPr>
                <w:sz w:val="20"/>
                <w:szCs w:val="20"/>
              </w:rPr>
              <w:t xml:space="preserve">holiness is not “only for those who can withdraw from ordinary </w:t>
            </w:r>
            <w:r w:rsidR="00B56F4E">
              <w:rPr>
                <w:sz w:val="20"/>
                <w:szCs w:val="20"/>
              </w:rPr>
              <w:br/>
            </w:r>
            <w:r w:rsidRPr="00D30442">
              <w:rPr>
                <w:sz w:val="20"/>
                <w:szCs w:val="20"/>
              </w:rPr>
              <w:t>affairs to spend much time in prayer” (14).</w:t>
            </w:r>
          </w:p>
        </w:tc>
      </w:tr>
      <w:tr w:rsidR="005C4958" w14:paraId="22C4F843" w14:textId="77777777" w:rsidTr="00A95354">
        <w:trPr>
          <w:trHeight w:val="1494"/>
        </w:trPr>
        <w:tc>
          <w:tcPr>
            <w:tcW w:w="3355" w:type="dxa"/>
          </w:tcPr>
          <w:p w14:paraId="171CB460" w14:textId="77777777" w:rsidR="00653AC4" w:rsidRPr="00441225" w:rsidRDefault="00653AC4" w:rsidP="00653AC4">
            <w:pPr>
              <w:pStyle w:val="A-ChartText-boldcells-10pt"/>
              <w:numPr>
                <w:ilvl w:val="0"/>
                <w:numId w:val="14"/>
              </w:numPr>
              <w:ind w:left="270" w:hanging="270"/>
            </w:pPr>
            <w:r w:rsidRPr="00441225">
              <w:lastRenderedPageBreak/>
              <w:t>(</w:t>
            </w:r>
            <w:r w:rsidRPr="00634661">
              <w:t>Paragraphs</w:t>
            </w:r>
            <w:r w:rsidRPr="00441225">
              <w:t xml:space="preserve"> 19–24) How is our mission on </w:t>
            </w:r>
            <w:r w:rsidRPr="00634661">
              <w:t>E</w:t>
            </w:r>
            <w:r w:rsidRPr="00441225">
              <w:t>arth</w:t>
            </w:r>
            <w:r w:rsidRPr="00634661">
              <w:t>—</w:t>
            </w:r>
            <w:r w:rsidRPr="00441225">
              <w:t>the path of holiness</w:t>
            </w:r>
            <w:r w:rsidRPr="00634661">
              <w:t>—</w:t>
            </w:r>
            <w:r w:rsidRPr="00441225">
              <w:t>connected to the Paschal Mystery?</w:t>
            </w:r>
          </w:p>
          <w:p w14:paraId="434077BA" w14:textId="77777777" w:rsidR="005C4958" w:rsidRDefault="005C4958" w:rsidP="00653AC4">
            <w:pPr>
              <w:pStyle w:val="A-ChartText-boldcells-10pt"/>
            </w:pPr>
          </w:p>
        </w:tc>
        <w:tc>
          <w:tcPr>
            <w:tcW w:w="6581" w:type="dxa"/>
          </w:tcPr>
          <w:p w14:paraId="1B3E04E5" w14:textId="77777777" w:rsidR="00653AC4" w:rsidRPr="00653AC4" w:rsidRDefault="00653AC4" w:rsidP="00653AC4">
            <w:pPr>
              <w:pStyle w:val="A-ChartText-bulletlist"/>
              <w:rPr>
                <w:sz w:val="20"/>
                <w:szCs w:val="20"/>
              </w:rPr>
            </w:pPr>
            <w:r w:rsidRPr="00653AC4">
              <w:rPr>
                <w:sz w:val="20"/>
                <w:szCs w:val="20"/>
              </w:rPr>
              <w:t>“A Christian cannot think of his or her mission on earth without seeing it as a path of holiness” (19).</w:t>
            </w:r>
          </w:p>
          <w:p w14:paraId="354E955E" w14:textId="77777777" w:rsidR="005C4958" w:rsidRPr="00653AC4" w:rsidRDefault="00653AC4" w:rsidP="00653AC4">
            <w:pPr>
              <w:pStyle w:val="A-ChartText-bulletlist"/>
              <w:rPr>
                <w:sz w:val="20"/>
                <w:szCs w:val="20"/>
              </w:rPr>
            </w:pPr>
            <w:r w:rsidRPr="00653AC4">
              <w:rPr>
                <w:sz w:val="20"/>
                <w:szCs w:val="20"/>
              </w:rPr>
              <w:t>That mission of holiness “consists in uniting ourselves to the Lord’s death and resurrection in a unique and personal way, constantly dying and rising anew with him. But it can also entail reproducing in our own lives various aspects of Jesus’ earthly life: his hidden life, his life in community, his closeness to the outcast, his poverty and other ways in which he showed his self-sacrificing love. The contemplation of these mysteries, as Saint Ignatius of Loyola pointed out, leads us to incarnate them in our choices and attitudes” (20).</w:t>
            </w:r>
          </w:p>
        </w:tc>
      </w:tr>
      <w:tr w:rsidR="005C4958" w14:paraId="1573D5B5" w14:textId="77777777" w:rsidTr="00A95354">
        <w:trPr>
          <w:trHeight w:val="959"/>
        </w:trPr>
        <w:tc>
          <w:tcPr>
            <w:tcW w:w="3355" w:type="dxa"/>
          </w:tcPr>
          <w:p w14:paraId="7974F642" w14:textId="77777777" w:rsidR="005C4958" w:rsidRPr="00B5503E" w:rsidRDefault="00705437" w:rsidP="00B5503E">
            <w:pPr>
              <w:pStyle w:val="A-ChartText-boldcells-10pt"/>
              <w:numPr>
                <w:ilvl w:val="0"/>
                <w:numId w:val="14"/>
              </w:numPr>
              <w:ind w:left="270" w:hanging="270"/>
            </w:pPr>
            <w:r w:rsidRPr="00705437">
              <w:t>(Paragraphs 63–66) Why are the Beatitudes referenced in this discussion on holiness?</w:t>
            </w:r>
          </w:p>
        </w:tc>
        <w:tc>
          <w:tcPr>
            <w:tcW w:w="6581" w:type="dxa"/>
          </w:tcPr>
          <w:p w14:paraId="17182C9A" w14:textId="77777777" w:rsidR="005C4958" w:rsidRDefault="00D913ED" w:rsidP="00B5503E">
            <w:pPr>
              <w:pStyle w:val="A-ChartText-10pt"/>
            </w:pPr>
            <w:r w:rsidRPr="0093503F">
              <w:t xml:space="preserve">“Jesus explained with great simplicity what it means to be holy when </w:t>
            </w:r>
            <w:r w:rsidR="00B56F4E">
              <w:br/>
            </w:r>
            <w:r w:rsidRPr="0093503F">
              <w:t xml:space="preserve">he gave us the Beatitudes” (63). “The word ‘happy’ or ‘blessed’ thus becomes a synonym for ‘holy.’ It expresses the fact that those faithful </w:t>
            </w:r>
            <w:r w:rsidR="00B56F4E">
              <w:br/>
            </w:r>
            <w:r w:rsidRPr="0093503F">
              <w:t xml:space="preserve">to God and his word, by their self-giving, gain true happiness” (64). </w:t>
            </w:r>
          </w:p>
        </w:tc>
      </w:tr>
      <w:tr w:rsidR="00B56F4E" w14:paraId="29B0A5FF" w14:textId="77777777" w:rsidTr="00A95354">
        <w:trPr>
          <w:trHeight w:val="410"/>
        </w:trPr>
        <w:tc>
          <w:tcPr>
            <w:tcW w:w="9936" w:type="dxa"/>
            <w:gridSpan w:val="2"/>
            <w:shd w:val="clear" w:color="auto" w:fill="D9D9D9" w:themeFill="background1" w:themeFillShade="D9"/>
          </w:tcPr>
          <w:p w14:paraId="17DA385A" w14:textId="77777777" w:rsidR="00B56F4E" w:rsidRPr="00B56F4E" w:rsidRDefault="00B56F4E" w:rsidP="00B56F4E">
            <w:pPr>
              <w:pStyle w:val="A-ChartDH"/>
            </w:pPr>
            <w:r w:rsidRPr="00B56F4E">
              <w:t>Part 2: The Beatitudes</w:t>
            </w:r>
          </w:p>
        </w:tc>
      </w:tr>
      <w:tr w:rsidR="00B56F4E" w14:paraId="50F4C48B" w14:textId="77777777" w:rsidTr="00A95354">
        <w:trPr>
          <w:trHeight w:val="1049"/>
        </w:trPr>
        <w:tc>
          <w:tcPr>
            <w:tcW w:w="3355" w:type="dxa"/>
          </w:tcPr>
          <w:p w14:paraId="78DCDE2E" w14:textId="77777777" w:rsidR="0038239C" w:rsidRPr="0093503F" w:rsidRDefault="0038239C" w:rsidP="0038239C">
            <w:pPr>
              <w:pStyle w:val="A-ChartText-boldcells-10pt"/>
            </w:pPr>
            <w:r w:rsidRPr="0093503F">
              <w:t xml:space="preserve">In your small group, read your assigned </w:t>
            </w:r>
            <w:r>
              <w:t>b</w:t>
            </w:r>
            <w:r w:rsidRPr="0093503F">
              <w:t>eatitude and answer its corresponding question. You may write your response here.</w:t>
            </w:r>
          </w:p>
          <w:p w14:paraId="4C4493E7" w14:textId="77777777" w:rsidR="00B56F4E" w:rsidRDefault="00B56F4E" w:rsidP="00FF040C">
            <w:pPr>
              <w:pStyle w:val="A-AnswerKey-EssayAnswers-indent"/>
              <w:ind w:left="0" w:firstLine="0"/>
            </w:pPr>
          </w:p>
        </w:tc>
        <w:tc>
          <w:tcPr>
            <w:tcW w:w="6581" w:type="dxa"/>
          </w:tcPr>
          <w:p w14:paraId="7DEAF53B" w14:textId="2969D349" w:rsidR="009C7966" w:rsidRPr="009C7966" w:rsidRDefault="009C7966" w:rsidP="009C7966">
            <w:pPr>
              <w:pStyle w:val="A-ChartText-10pt"/>
              <w:rPr>
                <w:i/>
              </w:rPr>
            </w:pPr>
            <w:r w:rsidRPr="009C7966">
              <w:rPr>
                <w:i/>
              </w:rPr>
              <w:t>Possible student responses to these questions can be found on the handout “The Beatitudes Answer Key” (TX006415</w:t>
            </w:r>
            <w:r w:rsidRPr="00B529C1">
              <w:rPr>
                <w:i/>
              </w:rPr>
              <w:t>)</w:t>
            </w:r>
            <w:r w:rsidR="00B529C1" w:rsidRPr="00B529C1">
              <w:t>, page 285.</w:t>
            </w:r>
          </w:p>
          <w:p w14:paraId="39CEE35A" w14:textId="77777777" w:rsidR="00B56F4E" w:rsidRPr="009C7966" w:rsidRDefault="00B56F4E" w:rsidP="009C7966">
            <w:pPr>
              <w:pStyle w:val="A-ChartText-10pt"/>
              <w:rPr>
                <w:i/>
              </w:rPr>
            </w:pPr>
          </w:p>
        </w:tc>
      </w:tr>
      <w:tr w:rsidR="00C85E27" w14:paraId="76FD6F8F" w14:textId="77777777" w:rsidTr="00A95354">
        <w:trPr>
          <w:trHeight w:val="311"/>
        </w:trPr>
        <w:tc>
          <w:tcPr>
            <w:tcW w:w="9936" w:type="dxa"/>
            <w:gridSpan w:val="2"/>
            <w:shd w:val="clear" w:color="auto" w:fill="D9D9D9" w:themeFill="background1" w:themeFillShade="D9"/>
          </w:tcPr>
          <w:p w14:paraId="5924E1F6" w14:textId="77777777" w:rsidR="00C85E27" w:rsidRDefault="00C85E27" w:rsidP="00C85E27">
            <w:pPr>
              <w:pStyle w:val="A-ChartDH"/>
            </w:pPr>
            <w:r w:rsidRPr="00B56F4E">
              <w:t xml:space="preserve">Part </w:t>
            </w:r>
            <w:r>
              <w:t>3</w:t>
            </w:r>
            <w:r w:rsidRPr="00B56F4E">
              <w:t xml:space="preserve">: </w:t>
            </w:r>
            <w:r>
              <w:t>Personal Response</w:t>
            </w:r>
          </w:p>
        </w:tc>
      </w:tr>
      <w:tr w:rsidR="00B56F4E" w14:paraId="3D3037F6" w14:textId="77777777" w:rsidTr="00A95354">
        <w:trPr>
          <w:trHeight w:val="1494"/>
        </w:trPr>
        <w:tc>
          <w:tcPr>
            <w:tcW w:w="3355" w:type="dxa"/>
          </w:tcPr>
          <w:p w14:paraId="73ADAEF1" w14:textId="790AAB21" w:rsidR="00B56F4E" w:rsidRDefault="00C85E27" w:rsidP="00C85E27">
            <w:pPr>
              <w:pStyle w:val="A-ChartText-boldcells-10pt"/>
            </w:pPr>
            <w:r w:rsidRPr="0093503F">
              <w:t>I</w:t>
            </w:r>
            <w:r>
              <w:t>nspire</w:t>
            </w:r>
            <w:r w:rsidRPr="0093503F">
              <w:t xml:space="preserve">: Choose one </w:t>
            </w:r>
            <w:r>
              <w:t xml:space="preserve">of </w:t>
            </w:r>
            <w:r w:rsidRPr="0093503F">
              <w:t>Pope Francis</w:t>
            </w:r>
            <w:r>
              <w:t>’s</w:t>
            </w:r>
            <w:r w:rsidRPr="0093503F">
              <w:t xml:space="preserve"> quote</w:t>
            </w:r>
            <w:r>
              <w:t>s</w:t>
            </w:r>
            <w:r w:rsidRPr="0093503F">
              <w:t xml:space="preserve"> on cultivating holiness found in “Rejoice and Be Glad.</w:t>
            </w:r>
            <w:r w:rsidRPr="004D4608">
              <w:t>”</w:t>
            </w:r>
            <w:r w:rsidRPr="0093503F">
              <w:t xml:space="preserve"> </w:t>
            </w:r>
            <w:r w:rsidRPr="00A403B4">
              <w:t>Write the quote here</w:t>
            </w:r>
            <w:r>
              <w:t>, along with</w:t>
            </w:r>
            <w:r w:rsidRPr="00A403B4">
              <w:t xml:space="preserve"> the paragraph number, and briefly explain </w:t>
            </w:r>
            <w:r w:rsidR="00AD2FEF">
              <w:br/>
            </w:r>
            <w:r w:rsidRPr="00A403B4">
              <w:t>why you find this quote so inspirational.</w:t>
            </w:r>
          </w:p>
        </w:tc>
        <w:tc>
          <w:tcPr>
            <w:tcW w:w="6581" w:type="dxa"/>
          </w:tcPr>
          <w:p w14:paraId="691D4644" w14:textId="77777777" w:rsidR="00C85E27" w:rsidRPr="00C85E27" w:rsidRDefault="00C85E27" w:rsidP="00C85E27">
            <w:pPr>
              <w:spacing w:line="480" w:lineRule="auto"/>
              <w:rPr>
                <w:rFonts w:ascii="Arial" w:hAnsi="Arial" w:cs="Arial"/>
                <w:i/>
                <w:sz w:val="20"/>
              </w:rPr>
            </w:pPr>
            <w:r w:rsidRPr="00C85E27">
              <w:rPr>
                <w:rFonts w:ascii="Arial" w:hAnsi="Arial" w:cs="Arial"/>
                <w:i/>
                <w:sz w:val="20"/>
              </w:rPr>
              <w:t>Student responses will vary.</w:t>
            </w:r>
          </w:p>
          <w:p w14:paraId="231D7C24" w14:textId="77777777" w:rsidR="00B56F4E" w:rsidRPr="00C85E27" w:rsidRDefault="00B56F4E" w:rsidP="00FF040C">
            <w:pPr>
              <w:pStyle w:val="A-AnswerKey-EssayAnswers-indent"/>
              <w:ind w:left="0" w:firstLine="0"/>
              <w:rPr>
                <w:rFonts w:cs="Arial"/>
                <w:szCs w:val="20"/>
              </w:rPr>
            </w:pPr>
          </w:p>
        </w:tc>
      </w:tr>
    </w:tbl>
    <w:p w14:paraId="7DDFABC2" w14:textId="5BDB5CAD" w:rsidR="005C4958" w:rsidRDefault="005C4958" w:rsidP="00FF040C">
      <w:pPr>
        <w:pStyle w:val="A-AnswerKey-EssayAnswers-indent"/>
        <w:ind w:left="0" w:firstLine="0"/>
      </w:pPr>
    </w:p>
    <w:p w14:paraId="097F4BCB" w14:textId="738B5048" w:rsidR="00B529C1" w:rsidRDefault="00B529C1" w:rsidP="00FF040C">
      <w:pPr>
        <w:pStyle w:val="A-AnswerKey-EssayAnswers-indent"/>
        <w:ind w:left="0" w:firstLine="0"/>
      </w:pPr>
    </w:p>
    <w:p w14:paraId="4293DA6F" w14:textId="3D2FACF7" w:rsidR="00B529C1" w:rsidRDefault="00B529C1" w:rsidP="00FF040C">
      <w:pPr>
        <w:pStyle w:val="A-AnswerKey-EssayAnswers-indent"/>
        <w:ind w:left="0" w:firstLine="0"/>
      </w:pPr>
    </w:p>
    <w:p w14:paraId="690B54FF" w14:textId="72C8AF99" w:rsidR="00B529C1" w:rsidRDefault="00B529C1" w:rsidP="00FF040C">
      <w:pPr>
        <w:pStyle w:val="A-AnswerKey-EssayAnswers-indent"/>
        <w:ind w:left="0" w:firstLine="0"/>
      </w:pPr>
    </w:p>
    <w:p w14:paraId="18056F2E" w14:textId="21EA8CFA" w:rsidR="00B529C1" w:rsidRPr="00B529C1" w:rsidRDefault="00CA0761" w:rsidP="00B529C1">
      <w:pPr>
        <w:pStyle w:val="A-PermissionAcks"/>
      </w:pPr>
      <w:r>
        <w:t>(</w:t>
      </w:r>
      <w:r w:rsidR="00B529C1" w:rsidRPr="00B529C1">
        <w:t>The quotations on this handout are from Pope Francis</w:t>
      </w:r>
      <w:r w:rsidR="00687F4C">
        <w:t>’</w:t>
      </w:r>
      <w:r w:rsidR="00B529C1" w:rsidRPr="00B529C1">
        <w:t>s encyclical</w:t>
      </w:r>
      <w:r w:rsidR="002007F9">
        <w:t xml:space="preserve"> “</w:t>
      </w:r>
      <w:r w:rsidR="00B529C1" w:rsidRPr="00B529C1">
        <w:t>Rejoice and be Glad</w:t>
      </w:r>
      <w:r w:rsidR="002007F9">
        <w:t>”</w:t>
      </w:r>
      <w:r w:rsidR="00B529C1" w:rsidRPr="00CA0761">
        <w:rPr>
          <w:i/>
          <w:iCs/>
        </w:rPr>
        <w:t xml:space="preserve"> </w:t>
      </w:r>
      <w:r w:rsidRPr="00CA0761">
        <w:rPr>
          <w:i/>
          <w:iCs/>
        </w:rPr>
        <w:t>[</w:t>
      </w:r>
      <w:r w:rsidR="00F675C9">
        <w:rPr>
          <w:i/>
          <w:iCs/>
        </w:rPr>
        <w:t>“</w:t>
      </w:r>
      <w:r w:rsidR="00B529C1" w:rsidRPr="00CA0761">
        <w:rPr>
          <w:i/>
          <w:iCs/>
        </w:rPr>
        <w:t xml:space="preserve">Gaudete et </w:t>
      </w:r>
      <w:proofErr w:type="spellStart"/>
      <w:r w:rsidR="00B529C1" w:rsidRPr="00CA0761">
        <w:rPr>
          <w:i/>
          <w:iCs/>
        </w:rPr>
        <w:t>Exsultate</w:t>
      </w:r>
      <w:proofErr w:type="spellEnd"/>
      <w:r w:rsidR="00F675C9">
        <w:rPr>
          <w:i/>
          <w:iCs/>
        </w:rPr>
        <w:t>”</w:t>
      </w:r>
      <w:r w:rsidRPr="00CA0761">
        <w:rPr>
          <w:i/>
          <w:iCs/>
        </w:rPr>
        <w:t>]</w:t>
      </w:r>
      <w:r w:rsidR="00B529C1" w:rsidRPr="00CA0761">
        <w:rPr>
          <w:i/>
          <w:iCs/>
        </w:rPr>
        <w:t>,</w:t>
      </w:r>
      <w:r w:rsidR="00B529C1" w:rsidRPr="00B529C1">
        <w:t xml:space="preserve"> at</w:t>
      </w:r>
      <w:r w:rsidR="00B529C1">
        <w:t xml:space="preserve"> </w:t>
      </w:r>
      <w:hyperlink r:id="rId8" w:history="1">
        <w:r w:rsidR="00AD2FEF" w:rsidRPr="00AD2FEF">
          <w:rPr>
            <w:rStyle w:val="Hyperlink"/>
            <w:color w:val="000000" w:themeColor="text1"/>
            <w:u w:val="none"/>
          </w:rPr>
          <w:t>http://w2</w:t>
        </w:r>
      </w:hyperlink>
      <w:r w:rsidR="00AD2FEF">
        <w:br/>
      </w:r>
      <w:r w:rsidR="00B529C1" w:rsidRPr="00B529C1">
        <w:t>.vatican.va/content/francesco/en/apost_exhortations/documents/papa-francesco_esortazione-ap_20180319_gaudete-et</w:t>
      </w:r>
      <w:r w:rsidR="00AD2FEF">
        <w:br/>
      </w:r>
      <w:r w:rsidR="00B529C1" w:rsidRPr="00B529C1">
        <w:t>-</w:t>
      </w:r>
      <w:proofErr w:type="spellStart"/>
      <w:r w:rsidR="00B529C1" w:rsidRPr="00B529C1">
        <w:t>exsultate.html#REJOICE_AND_BE_GLAD</w:t>
      </w:r>
      <w:proofErr w:type="spellEnd"/>
      <w:r w:rsidR="00B529C1" w:rsidRPr="00B529C1">
        <w:t xml:space="preserve">. Copyright © </w:t>
      </w:r>
      <w:proofErr w:type="spellStart"/>
      <w:r w:rsidR="00B529C1" w:rsidRPr="00B529C1">
        <w:t>Libreria</w:t>
      </w:r>
      <w:proofErr w:type="spellEnd"/>
      <w:r w:rsidR="00B529C1" w:rsidRPr="00B529C1">
        <w:t xml:space="preserve"> </w:t>
      </w:r>
      <w:proofErr w:type="spellStart"/>
      <w:r w:rsidR="00B529C1" w:rsidRPr="00B529C1">
        <w:t>Editrice</w:t>
      </w:r>
      <w:proofErr w:type="spellEnd"/>
      <w:r w:rsidR="00B529C1" w:rsidRPr="00B529C1">
        <w:t xml:space="preserve"> </w:t>
      </w:r>
      <w:proofErr w:type="spellStart"/>
      <w:r w:rsidR="00B529C1" w:rsidRPr="00B529C1">
        <w:t>Vaticana</w:t>
      </w:r>
      <w:proofErr w:type="spellEnd"/>
      <w:r w:rsidR="00B529C1" w:rsidRPr="00B529C1">
        <w:t>.</w:t>
      </w:r>
      <w:r>
        <w:t>)</w:t>
      </w:r>
    </w:p>
    <w:sectPr w:rsidR="00B529C1" w:rsidRPr="00B529C1" w:rsidSect="00984CD1">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1B297" w14:textId="77777777" w:rsidR="005F1E34" w:rsidRDefault="005F1E34" w:rsidP="004D0079">
      <w:r>
        <w:separator/>
      </w:r>
    </w:p>
    <w:p w14:paraId="045D376E" w14:textId="77777777" w:rsidR="005F1E34" w:rsidRDefault="005F1E34"/>
  </w:endnote>
  <w:endnote w:type="continuationSeparator" w:id="0">
    <w:p w14:paraId="129F2F4D" w14:textId="77777777" w:rsidR="005F1E34" w:rsidRDefault="005F1E34" w:rsidP="004D0079">
      <w:r>
        <w:continuationSeparator/>
      </w:r>
    </w:p>
    <w:p w14:paraId="7FE655C4" w14:textId="77777777" w:rsidR="005F1E34" w:rsidRDefault="005F1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07E71"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390261E0"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707985CC" wp14:editId="010ECCC3">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C448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05CB585"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A6FB5" w:rsidRPr="0047366B">
                                <w:rPr>
                                  <w:rFonts w:ascii="Arial" w:hAnsi="Arial" w:cs="Arial"/>
                                  <w:color w:val="000000"/>
                                  <w:sz w:val="18"/>
                                  <w:szCs w:val="18"/>
                                </w:rPr>
                                <w:t>TX006413</w:t>
                              </w:r>
                            </w:p>
                            <w:p w14:paraId="2FAC930C"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985C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2E7C448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05CB585"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A6FB5" w:rsidRPr="0047366B">
                          <w:rPr>
                            <w:rFonts w:ascii="Arial" w:hAnsi="Arial" w:cs="Arial"/>
                            <w:color w:val="000000"/>
                            <w:sz w:val="18"/>
                            <w:szCs w:val="18"/>
                          </w:rPr>
                          <w:t>TX006413</w:t>
                        </w:r>
                      </w:p>
                      <w:p w14:paraId="2FAC930C"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FD20CD0" wp14:editId="28425557">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CF2E8" w14:textId="77777777" w:rsidR="00FE5D24" w:rsidRDefault="006515F4">
    <w:r>
      <w:rPr>
        <w:noProof/>
      </w:rPr>
      <mc:AlternateContent>
        <mc:Choice Requires="wps">
          <w:drawing>
            <wp:anchor distT="0" distB="0" distL="114300" distR="114300" simplePos="0" relativeHeight="251654656" behindDoc="0" locked="1" layoutInCell="0" allowOverlap="1" wp14:anchorId="13D0BE6A" wp14:editId="4A25B57F">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83EB8"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D4AEE0A"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7366B" w:rsidRPr="0047366B">
                            <w:rPr>
                              <w:rFonts w:ascii="Arial" w:hAnsi="Arial" w:cs="Arial"/>
                              <w:color w:val="000000"/>
                              <w:sz w:val="18"/>
                              <w:szCs w:val="18"/>
                            </w:rPr>
                            <w:t>TX006413</w:t>
                          </w:r>
                        </w:p>
                        <w:p w14:paraId="5E9ABD4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0BE6A"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1EB83EB8"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D4AEE0A"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47366B" w:rsidRPr="0047366B">
                      <w:rPr>
                        <w:rFonts w:ascii="Arial" w:hAnsi="Arial" w:cs="Arial"/>
                        <w:color w:val="000000"/>
                        <w:sz w:val="18"/>
                        <w:szCs w:val="18"/>
                      </w:rPr>
                      <w:t>TX006413</w:t>
                    </w:r>
                  </w:p>
                  <w:p w14:paraId="5E9ABD4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3B0A82F" wp14:editId="4B30E98B">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7F704F" w14:textId="77777777" w:rsidR="005F1E34" w:rsidRDefault="005F1E34" w:rsidP="004D0079">
      <w:r>
        <w:separator/>
      </w:r>
    </w:p>
    <w:p w14:paraId="4F045C91" w14:textId="77777777" w:rsidR="005F1E34" w:rsidRDefault="005F1E34"/>
  </w:footnote>
  <w:footnote w:type="continuationSeparator" w:id="0">
    <w:p w14:paraId="7FEC4F04" w14:textId="77777777" w:rsidR="005F1E34" w:rsidRDefault="005F1E34" w:rsidP="004D0079">
      <w:r>
        <w:continuationSeparator/>
      </w:r>
    </w:p>
    <w:p w14:paraId="27A0538D" w14:textId="77777777" w:rsidR="005F1E34" w:rsidRDefault="005F1E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1C2AE" w14:textId="77777777" w:rsidR="00FE5D24" w:rsidRDefault="00FE5D24"/>
  <w:p w14:paraId="4E1663D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F45C8" w14:textId="77777777" w:rsidR="00FE5D24" w:rsidRPr="00634278" w:rsidRDefault="00CA6FB5" w:rsidP="00634278">
    <w:pPr>
      <w:pStyle w:val="A-Header-articletitlepage2"/>
    </w:pPr>
    <w:r w:rsidRPr="002C1B72">
      <w:t>“Rejoice and Be Glad”</w:t>
    </w:r>
    <w:r w:rsidRPr="001F7C8E">
      <w:t xml:space="preserve"> </w:t>
    </w:r>
    <w:r w:rsidRPr="001F7C8E">
      <w:rPr>
        <w:i/>
      </w:rPr>
      <w:t>(“</w:t>
    </w:r>
    <w:r w:rsidRPr="0093503F">
      <w:rPr>
        <w:i/>
      </w:rPr>
      <w:t>Gaudete</w:t>
    </w:r>
    <w:r w:rsidRPr="004D4608">
      <w:rPr>
        <w:i/>
      </w:rPr>
      <w:t xml:space="preserve"> et </w:t>
    </w:r>
    <w:proofErr w:type="spellStart"/>
    <w:r w:rsidRPr="004D4608">
      <w:rPr>
        <w:i/>
      </w:rPr>
      <w:t>Exsultate</w:t>
    </w:r>
    <w:proofErr w:type="spellEnd"/>
    <w:r w:rsidRPr="004D4608">
      <w:rPr>
        <w:i/>
      </w:rPr>
      <w:t xml:space="preserve">”) </w:t>
    </w:r>
    <w:r w:rsidRPr="004D4608">
      <w:t>Assignment Answer Ke</w:t>
    </w:r>
    <w:r>
      <w:t>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EF24B"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DA2142"/>
    <w:multiLevelType w:val="hybridMultilevel"/>
    <w:tmpl w:val="D1DED4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0224AAA"/>
    <w:multiLevelType w:val="hybridMultilevel"/>
    <w:tmpl w:val="74E4C5E8"/>
    <w:lvl w:ilvl="0" w:tplc="42841D90">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82E0AD2"/>
    <w:multiLevelType w:val="hybridMultilevel"/>
    <w:tmpl w:val="A35EB71C"/>
    <w:lvl w:ilvl="0" w:tplc="AC967DF6">
      <w:start w:val="1"/>
      <w:numFmt w:val="bullet"/>
      <w:pStyle w:val="bl1"/>
      <w:lvlText w:val=""/>
      <w:lvlJc w:val="left"/>
      <w:pPr>
        <w:ind w:left="150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2"/>
  </w:num>
  <w:num w:numId="8">
    <w:abstractNumId w:val="8"/>
  </w:num>
  <w:num w:numId="9">
    <w:abstractNumId w:val="7"/>
  </w:num>
  <w:num w:numId="10">
    <w:abstractNumId w:val="14"/>
  </w:num>
  <w:num w:numId="11">
    <w:abstractNumId w:val="6"/>
  </w:num>
  <w:num w:numId="12">
    <w:abstractNumId w:val="5"/>
  </w:num>
  <w:num w:numId="13">
    <w:abstractNumId w:val="13"/>
  </w:num>
  <w:num w:numId="14">
    <w:abstractNumId w:val="3"/>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34EB6"/>
    <w:rsid w:val="00152401"/>
    <w:rsid w:val="00162496"/>
    <w:rsid w:val="001747F9"/>
    <w:rsid w:val="00175D31"/>
    <w:rsid w:val="001764BC"/>
    <w:rsid w:val="0018531D"/>
    <w:rsid w:val="001916B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07F9"/>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77CE"/>
    <w:rsid w:val="0037014E"/>
    <w:rsid w:val="003739CB"/>
    <w:rsid w:val="00373E65"/>
    <w:rsid w:val="0038139E"/>
    <w:rsid w:val="0038239C"/>
    <w:rsid w:val="00393344"/>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366B"/>
    <w:rsid w:val="00475571"/>
    <w:rsid w:val="004A3116"/>
    <w:rsid w:val="004A69AF"/>
    <w:rsid w:val="004A7DE2"/>
    <w:rsid w:val="004B6327"/>
    <w:rsid w:val="004B7111"/>
    <w:rsid w:val="004C5561"/>
    <w:rsid w:val="004D0079"/>
    <w:rsid w:val="004D3EF8"/>
    <w:rsid w:val="004D5B13"/>
    <w:rsid w:val="004D74F6"/>
    <w:rsid w:val="004D7A2E"/>
    <w:rsid w:val="004E5DFC"/>
    <w:rsid w:val="004F644A"/>
    <w:rsid w:val="00500FAD"/>
    <w:rsid w:val="00502512"/>
    <w:rsid w:val="0050251D"/>
    <w:rsid w:val="00512FE3"/>
    <w:rsid w:val="00513FD9"/>
    <w:rsid w:val="00515CC5"/>
    <w:rsid w:val="00542706"/>
    <w:rsid w:val="00545244"/>
    <w:rsid w:val="00555CB8"/>
    <w:rsid w:val="00555EA6"/>
    <w:rsid w:val="0058460F"/>
    <w:rsid w:val="00584F60"/>
    <w:rsid w:val="00592686"/>
    <w:rsid w:val="005A4359"/>
    <w:rsid w:val="005A6944"/>
    <w:rsid w:val="005B4098"/>
    <w:rsid w:val="005C4958"/>
    <w:rsid w:val="005E0C08"/>
    <w:rsid w:val="005E1F1B"/>
    <w:rsid w:val="005E5CE2"/>
    <w:rsid w:val="005F1E34"/>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3AC4"/>
    <w:rsid w:val="00656241"/>
    <w:rsid w:val="006609CF"/>
    <w:rsid w:val="00670AE9"/>
    <w:rsid w:val="006845FE"/>
    <w:rsid w:val="00687F4C"/>
    <w:rsid w:val="006907E3"/>
    <w:rsid w:val="0069306F"/>
    <w:rsid w:val="00693D85"/>
    <w:rsid w:val="006A5B02"/>
    <w:rsid w:val="006B3F4F"/>
    <w:rsid w:val="006C04BA"/>
    <w:rsid w:val="006C199B"/>
    <w:rsid w:val="006C1F80"/>
    <w:rsid w:val="006C2B85"/>
    <w:rsid w:val="006C2FB1"/>
    <w:rsid w:val="006C325E"/>
    <w:rsid w:val="006C6F41"/>
    <w:rsid w:val="006D6EE7"/>
    <w:rsid w:val="006E27C3"/>
    <w:rsid w:val="006E4F88"/>
    <w:rsid w:val="006F5958"/>
    <w:rsid w:val="0070169A"/>
    <w:rsid w:val="00702374"/>
    <w:rsid w:val="007034FE"/>
    <w:rsid w:val="00705437"/>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275"/>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05C8"/>
    <w:rsid w:val="009A7EBE"/>
    <w:rsid w:val="009B09F7"/>
    <w:rsid w:val="009B48B5"/>
    <w:rsid w:val="009B5D9D"/>
    <w:rsid w:val="009B77FD"/>
    <w:rsid w:val="009C7966"/>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1E91"/>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95354"/>
    <w:rsid w:val="00AA5D5B"/>
    <w:rsid w:val="00AA7F49"/>
    <w:rsid w:val="00AB2BCC"/>
    <w:rsid w:val="00AB7193"/>
    <w:rsid w:val="00AD0497"/>
    <w:rsid w:val="00AD2FEF"/>
    <w:rsid w:val="00AD6F0C"/>
    <w:rsid w:val="00AD7A51"/>
    <w:rsid w:val="00AF2A78"/>
    <w:rsid w:val="00AF4B1B"/>
    <w:rsid w:val="00AF64D0"/>
    <w:rsid w:val="00B01320"/>
    <w:rsid w:val="00B11A16"/>
    <w:rsid w:val="00B11C59"/>
    <w:rsid w:val="00B1337E"/>
    <w:rsid w:val="00B15B28"/>
    <w:rsid w:val="00B16142"/>
    <w:rsid w:val="00B47B42"/>
    <w:rsid w:val="00B51054"/>
    <w:rsid w:val="00B529C1"/>
    <w:rsid w:val="00B52F10"/>
    <w:rsid w:val="00B5503E"/>
    <w:rsid w:val="00B55908"/>
    <w:rsid w:val="00B56F4E"/>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D9B"/>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85E27"/>
    <w:rsid w:val="00C91156"/>
    <w:rsid w:val="00C94EE8"/>
    <w:rsid w:val="00CA0761"/>
    <w:rsid w:val="00CA1806"/>
    <w:rsid w:val="00CA18FA"/>
    <w:rsid w:val="00CA6FB5"/>
    <w:rsid w:val="00CB0CD0"/>
    <w:rsid w:val="00CB462E"/>
    <w:rsid w:val="00CC176C"/>
    <w:rsid w:val="00CC5843"/>
    <w:rsid w:val="00CD1E46"/>
    <w:rsid w:val="00CD1FEA"/>
    <w:rsid w:val="00CD2136"/>
    <w:rsid w:val="00D02316"/>
    <w:rsid w:val="00D039CB"/>
    <w:rsid w:val="00D04A29"/>
    <w:rsid w:val="00D105EA"/>
    <w:rsid w:val="00D14D22"/>
    <w:rsid w:val="00D27D52"/>
    <w:rsid w:val="00D30442"/>
    <w:rsid w:val="00D33298"/>
    <w:rsid w:val="00D36E17"/>
    <w:rsid w:val="00D45298"/>
    <w:rsid w:val="00D57D5E"/>
    <w:rsid w:val="00D64EB1"/>
    <w:rsid w:val="00D73DDC"/>
    <w:rsid w:val="00D80DBD"/>
    <w:rsid w:val="00D82358"/>
    <w:rsid w:val="00D83EE1"/>
    <w:rsid w:val="00D913ED"/>
    <w:rsid w:val="00D974A5"/>
    <w:rsid w:val="00DB4EA7"/>
    <w:rsid w:val="00DC08C5"/>
    <w:rsid w:val="00DD28A2"/>
    <w:rsid w:val="00DD668C"/>
    <w:rsid w:val="00DE212A"/>
    <w:rsid w:val="00DE263B"/>
    <w:rsid w:val="00DE3F54"/>
    <w:rsid w:val="00DE652B"/>
    <w:rsid w:val="00DF25F7"/>
    <w:rsid w:val="00E017BB"/>
    <w:rsid w:val="00E01DE6"/>
    <w:rsid w:val="00E02EAF"/>
    <w:rsid w:val="00E069BA"/>
    <w:rsid w:val="00E12E92"/>
    <w:rsid w:val="00E16237"/>
    <w:rsid w:val="00E2045E"/>
    <w:rsid w:val="00E412C5"/>
    <w:rsid w:val="00E51E59"/>
    <w:rsid w:val="00E618D3"/>
    <w:rsid w:val="00E70001"/>
    <w:rsid w:val="00E73087"/>
    <w:rsid w:val="00E7545A"/>
    <w:rsid w:val="00E84AD5"/>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675C9"/>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2AB08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bl1">
    <w:name w:val="bl1"/>
    <w:basedOn w:val="Normal"/>
    <w:rsid w:val="005C4958"/>
    <w:pPr>
      <w:numPr>
        <w:numId w:val="13"/>
      </w:numPr>
      <w:spacing w:after="240"/>
    </w:pPr>
    <w:rPr>
      <w:rFonts w:ascii="Arial" w:eastAsiaTheme="minorHAnsi" w:hAnsi="Arial" w:cstheme="minorBidi"/>
      <w:szCs w:val="24"/>
    </w:rPr>
  </w:style>
  <w:style w:type="character" w:styleId="Hyperlink">
    <w:name w:val="Hyperlink"/>
    <w:basedOn w:val="DefaultParagraphFont"/>
    <w:unhideWhenUsed/>
    <w:qFormat/>
    <w:rsid w:val="00842275"/>
    <w:rPr>
      <w:color w:val="0000FF" w:themeColor="hyperlink"/>
      <w:u w:val="single"/>
    </w:rPr>
  </w:style>
  <w:style w:type="character" w:styleId="UnresolvedMention">
    <w:name w:val="Unresolved Mention"/>
    <w:basedOn w:val="DefaultParagraphFont"/>
    <w:uiPriority w:val="99"/>
    <w:semiHidden/>
    <w:unhideWhenUsed/>
    <w:rsid w:val="008422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4A87C-5049-444F-AD6D-6CCCAA6B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2</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200</cp:revision>
  <cp:lastPrinted>2020-01-02T20:16:00Z</cp:lastPrinted>
  <dcterms:created xsi:type="dcterms:W3CDTF">2011-05-03T23:25:00Z</dcterms:created>
  <dcterms:modified xsi:type="dcterms:W3CDTF">2021-01-21T19:22:00Z</dcterms:modified>
</cp:coreProperties>
</file>